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jc w:val="center"/>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融水苗族自治县</w:t>
      </w:r>
      <w:r>
        <w:rPr>
          <w:rFonts w:ascii="Microsoft JhengHei" w:hAnsi="Microsoft JhengHei" w:eastAsia="Microsoft JhengHei" w:cs="Microsoft JhengHei"/>
          <w:spacing w:val="-2"/>
          <w:sz w:val="44"/>
          <w:szCs w:val="44"/>
        </w:rPr>
        <w:t>市场监督管理局</w:t>
      </w:r>
    </w:p>
    <w:p>
      <w:pPr>
        <w:spacing w:before="1" w:line="204" w:lineRule="auto"/>
        <w:jc w:val="center"/>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w:t>
      </w:r>
      <w:r>
        <w:rPr>
          <w:rFonts w:hint="eastAsia" w:ascii="Microsoft JhengHei" w:hAnsi="Microsoft JhengHei" w:eastAsia="宋体" w:cs="Microsoft JhengHei"/>
          <w:spacing w:val="-2"/>
          <w:sz w:val="44"/>
          <w:szCs w:val="44"/>
        </w:rPr>
        <w:t>处</w:t>
      </w:r>
      <w:r>
        <w:rPr>
          <w:rFonts w:ascii="Microsoft JhengHei" w:hAnsi="Microsoft JhengHei" w:eastAsia="Microsoft JhengHei" w:cs="Microsoft JhengHei"/>
          <w:spacing w:val="-2"/>
          <w:sz w:val="44"/>
          <w:szCs w:val="44"/>
        </w:rPr>
        <w:t>罚决定书</w:t>
      </w:r>
    </w:p>
    <w:p>
      <w:pPr>
        <w:tabs>
          <w:tab w:val="left" w:pos="2725"/>
        </w:tabs>
        <w:spacing w:before="38" w:line="183" w:lineRule="auto"/>
        <w:jc w:val="center"/>
        <w:rPr>
          <w:rFonts w:ascii="仿宋" w:hAnsi="仿宋" w:eastAsia="仿宋" w:cs="仿宋"/>
          <w:sz w:val="32"/>
          <w:szCs w:val="32"/>
        </w:rPr>
      </w:pPr>
      <w:r>
        <w:rPr>
          <w:rFonts w:hint="eastAsia" w:ascii="仿宋" w:hAnsi="仿宋" w:eastAsia="仿宋" w:cs="仿宋"/>
          <w:spacing w:val="-7"/>
          <w:sz w:val="32"/>
          <w:szCs w:val="32"/>
        </w:rPr>
        <w:t>融</w:t>
      </w:r>
      <w:r>
        <w:rPr>
          <w:rFonts w:ascii="仿宋" w:hAnsi="仿宋" w:eastAsia="仿宋" w:cs="仿宋"/>
          <w:spacing w:val="-7"/>
          <w:sz w:val="32"/>
          <w:szCs w:val="32"/>
        </w:rPr>
        <w:t>市监处罚〔</w:t>
      </w:r>
      <w:r>
        <w:rPr>
          <w:rFonts w:hint="eastAsia" w:ascii="仿宋" w:hAnsi="仿宋" w:eastAsia="仿宋" w:cs="仿宋"/>
          <w:spacing w:val="18"/>
          <w:sz w:val="32"/>
          <w:szCs w:val="32"/>
        </w:rPr>
        <w:t>202</w:t>
      </w:r>
      <w:r>
        <w:rPr>
          <w:rFonts w:hint="eastAsia" w:ascii="仿宋" w:hAnsi="仿宋" w:eastAsia="仿宋" w:cs="仿宋"/>
          <w:spacing w:val="18"/>
          <w:sz w:val="32"/>
          <w:szCs w:val="32"/>
          <w:lang w:val="en-US" w:eastAsia="zh-CN"/>
        </w:rPr>
        <w:t>2</w:t>
      </w:r>
      <w:r>
        <w:rPr>
          <w:rFonts w:ascii="仿宋" w:hAnsi="仿宋" w:eastAsia="仿宋" w:cs="仿宋"/>
          <w:spacing w:val="-7"/>
          <w:sz w:val="32"/>
          <w:szCs w:val="32"/>
        </w:rPr>
        <w:t>〕</w:t>
      </w:r>
      <w:r>
        <w:rPr>
          <w:rFonts w:hint="eastAsia" w:ascii="仿宋" w:hAnsi="仿宋" w:eastAsia="仿宋" w:cs="仿宋"/>
          <w:spacing w:val="-7"/>
          <w:sz w:val="32"/>
          <w:szCs w:val="32"/>
          <w:lang w:val="en-US" w:eastAsia="zh-CN"/>
        </w:rPr>
        <w:t>10</w:t>
      </w:r>
      <w:r>
        <w:rPr>
          <w:rFonts w:ascii="仿宋" w:hAnsi="仿宋" w:eastAsia="仿宋" w:cs="仿宋"/>
          <w:spacing w:val="-7"/>
          <w:sz w:val="32"/>
          <w:szCs w:val="32"/>
        </w:rPr>
        <w:t>号</w:t>
      </w:r>
    </w:p>
    <w:p>
      <w:pPr>
        <w:spacing w:before="104" w:line="300" w:lineRule="auto"/>
        <w:ind w:left="35" w:right="16" w:firstLine="33"/>
        <w:rPr>
          <w:rFonts w:ascii="仿宋" w:hAnsi="仿宋" w:eastAsia="仿宋" w:cs="仿宋"/>
          <w:spacing w:val="-28"/>
          <w:w w:val="89"/>
          <w:sz w:val="32"/>
          <w:szCs w:val="32"/>
        </w:rPr>
      </w:pP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520" w:lineRule="exact"/>
        <w:ind w:left="16" w:right="16" w:firstLine="692"/>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当事人：</w:t>
      </w:r>
      <w:r>
        <w:rPr>
          <w:rFonts w:hint="eastAsia" w:ascii="仿宋_GB2312" w:hAnsi="仿宋_GB2312" w:eastAsia="仿宋_GB2312" w:cs="仿宋_GB2312"/>
          <w:spacing w:val="-9"/>
          <w:sz w:val="32"/>
          <w:szCs w:val="32"/>
          <w:lang w:eastAsia="zh-CN"/>
        </w:rPr>
        <w:t>杨兰姣</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520" w:lineRule="exact"/>
        <w:ind w:left="16" w:right="16" w:firstLine="692"/>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住所：广西柳州市融水县</w:t>
      </w:r>
      <w:r>
        <w:rPr>
          <w:rFonts w:hint="eastAsia" w:ascii="仿宋_GB2312" w:hAnsi="仿宋_GB2312" w:eastAsia="仿宋_GB2312" w:cs="仿宋_GB2312"/>
          <w:spacing w:val="-9"/>
          <w:sz w:val="32"/>
          <w:szCs w:val="32"/>
          <w:lang w:eastAsia="zh-CN"/>
        </w:rPr>
        <w:t>白云乡竹口街</w:t>
      </w:r>
      <w:r>
        <w:rPr>
          <w:rFonts w:hint="eastAsia" w:ascii="仿宋_GB2312" w:hAnsi="仿宋_GB2312" w:eastAsia="仿宋_GB2312" w:cs="仿宋_GB2312"/>
          <w:spacing w:val="-9"/>
          <w:sz w:val="32"/>
          <w:szCs w:val="32"/>
        </w:rPr>
        <w:t xml:space="preserve"> </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520" w:lineRule="exact"/>
        <w:ind w:left="16" w:right="16" w:firstLine="692"/>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身份证号码：45222919661</w:t>
      </w:r>
      <w:r>
        <w:rPr>
          <w:rFonts w:hint="eastAsia" w:ascii="仿宋_GB2312" w:hAnsi="仿宋_GB2312" w:eastAsia="仿宋_GB2312" w:cs="仿宋_GB2312"/>
          <w:spacing w:val="-9"/>
          <w:sz w:val="32"/>
          <w:szCs w:val="32"/>
          <w:lang w:val="en-US" w:eastAsia="zh-CN"/>
        </w:rPr>
        <w:t>********</w:t>
      </w:r>
      <w:r>
        <w:rPr>
          <w:rFonts w:hint="eastAsia" w:ascii="仿宋_GB2312" w:hAnsi="仿宋_GB2312" w:eastAsia="仿宋_GB2312" w:cs="仿宋_GB2312"/>
          <w:spacing w:val="-9"/>
          <w:sz w:val="32"/>
          <w:szCs w:val="32"/>
        </w:rPr>
        <w:t xml:space="preserve"> </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520" w:lineRule="exact"/>
        <w:ind w:left="16" w:right="16" w:firstLine="692"/>
        <w:textAlignment w:val="baseline"/>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rPr>
        <w:t>联系电话：1807472</w:t>
      </w:r>
      <w:r>
        <w:rPr>
          <w:rFonts w:hint="eastAsia" w:ascii="仿宋_GB2312" w:hAnsi="仿宋_GB2312" w:eastAsia="仿宋_GB2312" w:cs="仿宋_GB2312"/>
          <w:spacing w:val="-9"/>
          <w:sz w:val="32"/>
          <w:szCs w:val="32"/>
          <w:lang w:val="en-US" w:eastAsia="zh-CN"/>
        </w:rPr>
        <w:t>****</w:t>
      </w:r>
      <w:bookmarkStart w:id="0" w:name="_GoBack"/>
      <w:bookmarkEnd w:id="0"/>
    </w:p>
    <w:p>
      <w:pPr>
        <w:keepNext w:val="0"/>
        <w:keepLines w:val="0"/>
        <w:pageBreakBefore w:val="0"/>
        <w:wordWrap/>
        <w:overflowPunct/>
        <w:topLinePunct w:val="0"/>
        <w:bidi w:val="0"/>
        <w:adjustRightInd w:val="0"/>
        <w:spacing w:line="480" w:lineRule="exact"/>
        <w:ind w:right="16"/>
        <w:rPr>
          <w:rFonts w:ascii="仿宋" w:hAnsi="仿宋" w:eastAsia="仿宋" w:cs="仿宋"/>
          <w:spacing w:val="-28"/>
          <w:sz w:val="32"/>
          <w:szCs w:val="32"/>
        </w:rPr>
      </w:pPr>
      <w:r>
        <w:rPr>
          <w:rFonts w:ascii="仿宋" w:hAnsi="仿宋" w:eastAsia="仿宋" w:cs="仿宋"/>
          <w:sz w:val="32"/>
          <w:szCs w:val="32"/>
        </w:rPr>
        <w:t xml:space="preserve">              </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11日，我局执法人员会同广西民生中检联检测有限公司的抽样人员依法对位于融水县白云乡竹口街杨兰姣（以下称为当事人）经营的食用农产品摊点进行食用农产品监督抽检，现场在当事人的陪同下从其经营的摊点随机抽取了“香蕉”等食用农产品一批共6种样品，样品送至广西民生中检联检测有限公司进行检验。该公司于2021年12月12日签发的《检验报告》（№：SP202123605）中显示“食品名称 ：沙糖橘；检验结论：经抽样检验，氧乐果项目不符合GB2763-2021《食品安全国家标准 食品中农药最大残留限量》要求，检验结论为不合格”。我局收到不合格检验报告后于2021年12月15日向当事人送达不合格《检验报告》（№：SP202123605）和《食品安全抽样检验结果通知书》（顺序号:  XC21450225634800399），由当事人杨兰姣签收；执法人员现场开展不合格食品后处置工作，未发现上述同批次不合格“沙糖橘”。</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18日，经局领导审批同意后对当事人涉嫌经营不符合食品安全标准食用农产品的行为进行立案调查。当事人在规定期限内没有提出书面复检和异议申请，视为认可检验结论无异议。2021年12月30日，当事人杨兰姣到我局白云市场监督管理所接受询问调查，其对我局抽检过程无异议，承认采购食用农产品时未按照规定查验相关证明材料、未建立食用农产品进货查验记录制度，对其销售不符合食品安全标准食用农产品“沙糖橘”的违法事实予以承认；同时供述无法确认涉案“沙糖橘”的进货来源</w:t>
      </w:r>
      <w:r>
        <w:rPr>
          <w:rFonts w:hint="eastAsia" w:ascii="仿宋_GB2312" w:hAnsi="仿宋_GB2312" w:eastAsia="仿宋_GB2312" w:cs="仿宋_GB2312"/>
          <w:sz w:val="32"/>
          <w:szCs w:val="32"/>
          <w:lang w:eastAsia="zh-CN"/>
        </w:rPr>
        <w:t>。经核实，本案涉案</w:t>
      </w:r>
      <w:r>
        <w:rPr>
          <w:rFonts w:hint="eastAsia" w:ascii="仿宋_GB2312" w:hAnsi="仿宋_GB2312" w:eastAsia="仿宋_GB2312" w:cs="仿宋_GB2312"/>
          <w:sz w:val="32"/>
          <w:szCs w:val="32"/>
        </w:rPr>
        <w:t>货值金额为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,违法所得12元</w:t>
      </w:r>
      <w:r>
        <w:rPr>
          <w:rFonts w:hint="eastAsia" w:ascii="仿宋_GB2312" w:hAnsi="仿宋_GB2312" w:eastAsia="仿宋_GB2312" w:cs="仿宋_GB2312"/>
          <w:sz w:val="32"/>
          <w:szCs w:val="32"/>
        </w:rPr>
        <w:t>。</w:t>
      </w:r>
    </w:p>
    <w:p>
      <w:pPr>
        <w:keepNext w:val="0"/>
        <w:keepLines w:val="0"/>
        <w:pageBreakBefore w:val="0"/>
        <w:wordWrap/>
        <w:overflowPunct/>
        <w:topLinePunct w:val="0"/>
        <w:bidi w:val="0"/>
        <w:adjustRightInd w:val="0"/>
        <w:spacing w:line="500" w:lineRule="exact"/>
        <w:ind w:firstLine="656"/>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16"/>
          <w:sz w:val="32"/>
          <w:szCs w:val="32"/>
        </w:rPr>
        <w:t>上述事实，主要有以下证据证明：</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1、杨兰姣《居民身份证》复印件1份，证明当事人的合法身份信息；</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2、《现场笔录》（2021年11月11日）1份，证明执法人员依法开展食品安全监督抽检的过程；</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3、《国家食品安全抽样检验告知书》（№0091078）图片打印件1份，证明已告知当事人抽检的事由和事项；                            </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4、《国家食品安全抽样检验抽样单（非网络）》（抽样单编号：XC21450225634800399）1份 ，证明样品基本信息情况； </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5、《检验报告》（№：SP202123605）1份,证明从当事人经营的摊点抽取“沙糖橘”样品经检验结论不合格的事实；                                                       </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6、《食品安全抽样检验结果通知书》（顺序号：XC21450225634800399）1份,证明已告知当事人检验结果及享有的权利；                                              </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7、《现场笔录》1份（2021年12月15日）,证明我局执法人员现场送达检验报告及开展不合格后处置工作情况；                                                                                                                      </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8、《检验报告》（送达回证）1份，证明当事人已收到上述检验报告； </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9、《询问笔录》（2021年12月30日）1份,证明当事人承认违法事实和涉案货值金额、违法所得等事项；</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执法人员现场取证拍照4张，证明执法人员2021年11月11日现场抽检的事实。</w:t>
      </w:r>
    </w:p>
    <w:p>
      <w:pPr>
        <w:keepNext w:val="0"/>
        <w:keepLines w:val="0"/>
        <w:pageBreakBefore w:val="0"/>
        <w:wordWrap/>
        <w:overflowPunct/>
        <w:topLinePunct w:val="0"/>
        <w:bidi w:val="0"/>
        <w:adjustRightInd w:val="0"/>
        <w:spacing w:line="500" w:lineRule="exact"/>
        <w:ind w:firstLine="640" w:firstLineChars="200"/>
        <w:jc w:val="both"/>
        <w:rPr>
          <w:rFonts w:hint="eastAsia" w:ascii="仿宋_GB2312" w:hAnsi="仿宋_GB2312" w:eastAsia="仿宋_GB2312" w:cs="仿宋_GB2312"/>
          <w:color w:val="221E1F"/>
          <w:sz w:val="32"/>
          <w:szCs w:val="32"/>
        </w:rPr>
      </w:pPr>
      <w:r>
        <w:rPr>
          <w:rFonts w:hint="eastAsia" w:ascii="仿宋_GB2312" w:hAnsi="仿宋_GB2312" w:eastAsia="仿宋_GB2312" w:cs="仿宋_GB2312"/>
          <w:sz w:val="32"/>
          <w:szCs w:val="32"/>
        </w:rPr>
        <w:t>我局执法人员于202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日向当事人直接送达《行政处罚告知书》（融市监告字〔202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号），当事人在规定期限内没有提出陈述、申辩意见，视为放弃陈述和申辩的权利。</w:t>
      </w:r>
    </w:p>
    <w:p>
      <w:pPr>
        <w:keepNext w:val="0"/>
        <w:keepLines w:val="0"/>
        <w:pageBreakBefore w:val="0"/>
        <w:tabs>
          <w:tab w:val="left" w:pos="4380"/>
        </w:tabs>
        <w:kinsoku/>
        <w:wordWrap/>
        <w:overflowPunct/>
        <w:topLinePunct w:val="0"/>
        <w:autoSpaceDE/>
        <w:autoSpaceDN/>
        <w:bidi w:val="0"/>
        <w:adjustRightInd w:val="0"/>
        <w:spacing w:after="0" w:line="500" w:lineRule="exact"/>
        <w:ind w:left="16" w:right="16" w:firstLine="692"/>
        <w:jc w:val="both"/>
        <w:textAlignment w:val="auto"/>
        <w:rPr>
          <w:rFonts w:hint="eastAsia" w:ascii="仿宋_GB2312" w:hAnsi="仿宋_GB2312" w:eastAsia="仿宋_GB2312" w:cs="仿宋_GB2312"/>
          <w:snapToGrid/>
          <w:spacing w:val="-8"/>
          <w:kern w:val="0"/>
          <w:sz w:val="32"/>
          <w:szCs w:val="32"/>
          <w:lang w:eastAsia="zh-CN"/>
        </w:rPr>
      </w:pPr>
      <w:r>
        <w:rPr>
          <w:rFonts w:hint="eastAsia" w:ascii="仿宋_GB2312" w:hAnsi="仿宋_GB2312" w:eastAsia="仿宋_GB2312" w:cs="仿宋_GB2312"/>
          <w:spacing w:val="-3"/>
          <w:sz w:val="32"/>
          <w:szCs w:val="32"/>
        </w:rPr>
        <w:t>本局认为</w:t>
      </w:r>
      <w:r>
        <w:rPr>
          <w:rFonts w:hint="eastAsia" w:ascii="仿宋_GB2312" w:hAnsi="仿宋_GB2312" w:eastAsia="仿宋_GB2312" w:cs="仿宋_GB2312"/>
          <w:spacing w:val="-41"/>
          <w:sz w:val="32"/>
          <w:szCs w:val="32"/>
        </w:rPr>
        <w:t>，</w:t>
      </w:r>
      <w:r>
        <w:rPr>
          <w:rFonts w:hint="eastAsia" w:ascii="仿宋_GB2312" w:hAnsi="仿宋_GB2312" w:eastAsia="仿宋_GB2312" w:cs="仿宋_GB2312"/>
          <w:snapToGrid/>
          <w:spacing w:val="-8"/>
          <w:kern w:val="0"/>
          <w:sz w:val="32"/>
          <w:szCs w:val="32"/>
          <w:lang w:eastAsia="zh-CN"/>
        </w:rPr>
        <w:t>当事人经营不符食品安全标准食用农产品的行为违反了《食用农产品市场销售质量安全监督管理办法》第二十五条第（二）项、《广西壮族自治区食品小作坊小餐饮和食品摊贩管理条例》第二十八条第（五）项的规定；当事人经营来源不明的食品的行为违反了《广西壮族自治区食品小作坊小餐饮和食品摊贩管理条例》第二十八条第（一）项的规定；依据《广西壮族自治区食品小作坊小餐饮和食品摊贩管理条例》第四十三条的规定，</w:t>
      </w:r>
      <w:r>
        <w:rPr>
          <w:rFonts w:hint="eastAsia" w:ascii="仿宋_GB2312" w:hAnsi="仿宋_GB2312" w:eastAsia="仿宋_GB2312" w:cs="仿宋_GB2312"/>
          <w:snapToGrid/>
          <w:spacing w:val="-8"/>
          <w:kern w:val="0"/>
          <w:sz w:val="32"/>
          <w:szCs w:val="32"/>
        </w:rPr>
        <w:t>我局</w:t>
      </w:r>
      <w:r>
        <w:rPr>
          <w:rFonts w:hint="eastAsia" w:ascii="仿宋_GB2312" w:hAnsi="仿宋_GB2312" w:eastAsia="仿宋_GB2312" w:cs="仿宋_GB2312"/>
          <w:snapToGrid/>
          <w:spacing w:val="-8"/>
          <w:kern w:val="0"/>
          <w:sz w:val="32"/>
          <w:szCs w:val="32"/>
          <w:lang w:eastAsia="zh-CN"/>
        </w:rPr>
        <w:t>决定给予当事人行政处罚如下</w:t>
      </w:r>
      <w:r>
        <w:rPr>
          <w:rFonts w:hint="eastAsia" w:ascii="仿宋_GB2312" w:hAnsi="仿宋_GB2312" w:eastAsia="仿宋_GB2312" w:cs="仿宋_GB2312"/>
          <w:snapToGrid/>
          <w:spacing w:val="-8"/>
          <w:kern w:val="0"/>
          <w:sz w:val="32"/>
          <w:szCs w:val="32"/>
        </w:rPr>
        <w:t>：</w:t>
      </w:r>
    </w:p>
    <w:p>
      <w:pPr>
        <w:keepNext w:val="0"/>
        <w:keepLines w:val="0"/>
        <w:pageBreakBefore w:val="0"/>
        <w:tabs>
          <w:tab w:val="left" w:pos="4380"/>
        </w:tabs>
        <w:kinsoku/>
        <w:wordWrap/>
        <w:overflowPunct/>
        <w:topLinePunct w:val="0"/>
        <w:autoSpaceDE/>
        <w:autoSpaceDN/>
        <w:bidi w:val="0"/>
        <w:adjustRightInd w:val="0"/>
        <w:spacing w:after="0" w:line="500" w:lineRule="exact"/>
        <w:ind w:left="16" w:right="16" w:firstLine="692"/>
        <w:jc w:val="both"/>
        <w:textAlignment w:val="auto"/>
        <w:rPr>
          <w:rFonts w:hint="eastAsia" w:ascii="仿宋_GB2312" w:hAnsi="仿宋_GB2312" w:eastAsia="仿宋_GB2312" w:cs="仿宋_GB2312"/>
          <w:snapToGrid/>
          <w:spacing w:val="-8"/>
          <w:kern w:val="0"/>
          <w:sz w:val="32"/>
          <w:szCs w:val="32"/>
        </w:rPr>
      </w:pPr>
      <w:r>
        <w:rPr>
          <w:rFonts w:hint="eastAsia" w:ascii="仿宋_GB2312" w:hAnsi="仿宋_GB2312" w:eastAsia="仿宋_GB2312" w:cs="仿宋_GB2312"/>
          <w:snapToGrid/>
          <w:spacing w:val="-8"/>
          <w:kern w:val="0"/>
          <w:sz w:val="32"/>
          <w:szCs w:val="32"/>
          <w:lang w:eastAsia="zh-CN"/>
        </w:rPr>
        <w:t>警告。</w:t>
      </w:r>
    </w:p>
    <w:p>
      <w:pPr>
        <w:keepNext w:val="0"/>
        <w:keepLines w:val="0"/>
        <w:pageBreakBefore w:val="0"/>
        <w:kinsoku/>
        <w:wordWrap/>
        <w:overflowPunct/>
        <w:topLinePunct w:val="0"/>
        <w:autoSpaceDE/>
        <w:autoSpaceDN/>
        <w:bidi w:val="0"/>
        <w:adjustRightInd w:val="0"/>
        <w:spacing w:after="0" w:line="500" w:lineRule="exact"/>
        <w:ind w:left="638" w:leftChars="304" w:firstLine="0" w:firstLineChars="0"/>
        <w:jc w:val="both"/>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同时，依据《中华人民共和国行政处罚法》第二十八条第一</w:t>
      </w:r>
    </w:p>
    <w:p>
      <w:pPr>
        <w:keepNext w:val="0"/>
        <w:keepLines w:val="0"/>
        <w:pageBreakBefore w:val="0"/>
        <w:kinsoku/>
        <w:wordWrap/>
        <w:overflowPunct/>
        <w:topLinePunct w:val="0"/>
        <w:autoSpaceDE/>
        <w:autoSpaceDN/>
        <w:bidi w:val="0"/>
        <w:adjustRightInd w:val="0"/>
        <w:spacing w:after="0" w:line="500" w:lineRule="exact"/>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款的规定，责令当事人改正违法行为。</w:t>
      </w:r>
    </w:p>
    <w:p>
      <w:pPr>
        <w:keepNext w:val="0"/>
        <w:keepLines w:val="0"/>
        <w:pageBreakBefore w:val="0"/>
        <w:widowControl w:val="0"/>
        <w:kinsoku/>
        <w:wordWrap/>
        <w:overflowPunct/>
        <w:topLinePunct w:val="0"/>
        <w:autoSpaceDE/>
        <w:autoSpaceDN/>
        <w:bidi w:val="0"/>
        <w:adjustRightInd w:val="0"/>
        <w:snapToGrid/>
        <w:spacing w:after="0" w:line="500" w:lineRule="exact"/>
        <w:ind w:left="0" w:leftChars="0" w:right="0" w:rightChars="0" w:firstLine="640" w:firstLineChars="200"/>
        <w:jc w:val="both"/>
        <w:textAlignment w:val="baseline"/>
        <w:outlineLvl w:val="9"/>
        <w:rPr>
          <w:rFonts w:hint="eastAsia" w:ascii="仿宋_GB2312" w:hAnsi="仿宋_GB2312" w:eastAsia="仿宋_GB2312" w:cs="仿宋_GB2312"/>
          <w:snapToGrid/>
          <w:color w:val="000000"/>
          <w:sz w:val="32"/>
          <w:szCs w:val="32"/>
          <w:u w:val="none"/>
          <w:lang w:val="en-US" w:eastAsia="zh-CN"/>
        </w:rPr>
      </w:pPr>
      <w:r>
        <w:rPr>
          <w:rFonts w:hint="eastAsia" w:ascii="仿宋_GB2312" w:hAnsi="仿宋_GB2312" w:eastAsia="仿宋_GB2312" w:cs="仿宋_GB2312"/>
          <w:snapToGrid/>
          <w:color w:val="000000"/>
          <w:sz w:val="32"/>
          <w:szCs w:val="32"/>
          <w:u w:val="none"/>
          <w:lang w:val="en-US" w:eastAsia="zh-CN"/>
        </w:rPr>
        <w:t>当事人如对上述行政处罚决定不服，可在接到处罚决定书之日起六十日内，向融水苗族自治县人民政府或者柳州市市场监督管理局申请复议；也可在六个月内向柳州市柳北区人民法院或融水苗族自治县人民法院提起诉讼。申请行政复议或者提起行政诉讼期间，行政处罚不停止执行。</w:t>
      </w:r>
    </w:p>
    <w:p>
      <w:pPr>
        <w:keepNext w:val="0"/>
        <w:keepLines w:val="0"/>
        <w:pageBreakBefore w:val="0"/>
        <w:wordWrap/>
        <w:overflowPunct/>
        <w:topLinePunct w:val="0"/>
        <w:bidi w:val="0"/>
        <w:adjustRightInd w:val="0"/>
        <w:spacing w:line="500" w:lineRule="exact"/>
        <w:ind w:firstLine="3520" w:firstLineChars="1100"/>
        <w:rPr>
          <w:rFonts w:hint="eastAsia" w:ascii="仿宋_GB2312" w:hAnsi="仿宋_GB2312" w:eastAsia="仿宋_GB2312" w:cs="仿宋_GB2312"/>
          <w:sz w:val="32"/>
          <w:szCs w:val="32"/>
        </w:rPr>
      </w:pPr>
    </w:p>
    <w:p>
      <w:pPr>
        <w:keepNext w:val="0"/>
        <w:keepLines w:val="0"/>
        <w:pageBreakBefore w:val="0"/>
        <w:wordWrap/>
        <w:overflowPunct/>
        <w:topLinePunct w:val="0"/>
        <w:bidi w:val="0"/>
        <w:adjustRightInd w:val="0"/>
        <w:spacing w:line="500" w:lineRule="exact"/>
        <w:ind w:firstLine="3520" w:firstLineChars="1100"/>
        <w:rPr>
          <w:rFonts w:hint="eastAsia" w:ascii="仿宋_GB2312" w:hAnsi="仿宋_GB2312" w:eastAsia="仿宋_GB2312" w:cs="仿宋_GB2312"/>
          <w:sz w:val="32"/>
          <w:szCs w:val="32"/>
        </w:rPr>
      </w:pPr>
    </w:p>
    <w:p>
      <w:pPr>
        <w:keepNext w:val="0"/>
        <w:keepLines w:val="0"/>
        <w:pageBreakBefore w:val="0"/>
        <w:wordWrap/>
        <w:overflowPunct/>
        <w:topLinePunct w:val="0"/>
        <w:bidi w:val="0"/>
        <w:adjustRightInd w:val="0"/>
        <w:spacing w:line="50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融水苗族自治县市场监督管理局</w:t>
      </w:r>
    </w:p>
    <w:p>
      <w:pPr>
        <w:keepNext w:val="0"/>
        <w:keepLines w:val="0"/>
        <w:pageBreakBefore w:val="0"/>
        <w:wordWrap/>
        <w:overflowPunct/>
        <w:topLinePunct w:val="0"/>
        <w:bidi w:val="0"/>
        <w:adjustRightInd w:val="0"/>
        <w:spacing w:line="500" w:lineRule="exact"/>
        <w:ind w:right="120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ordWrap/>
        <w:overflowPunct/>
        <w:topLinePunct w:val="0"/>
        <w:bidi w:val="0"/>
        <w:adjustRightInd w:val="0"/>
        <w:spacing w:line="500" w:lineRule="exact"/>
        <w:ind w:right="1200" w:firstLine="4480" w:firstLineChars="1400"/>
        <w:rPr>
          <w:rFonts w:hint="eastAsia" w:ascii="仿宋_GB2312" w:hAnsi="仿宋_GB2312" w:eastAsia="仿宋_GB2312" w:cs="仿宋_GB2312"/>
          <w:sz w:val="32"/>
          <w:szCs w:val="32"/>
        </w:rPr>
      </w:pPr>
    </w:p>
    <w:p>
      <w:pPr>
        <w:keepNext w:val="0"/>
        <w:keepLines w:val="0"/>
        <w:pageBreakBefore w:val="0"/>
        <w:wordWrap/>
        <w:overflowPunct/>
        <w:topLinePunct w:val="0"/>
        <w:bidi w:val="0"/>
        <w:adjustRightInd w:val="0"/>
        <w:spacing w:line="500" w:lineRule="exact"/>
        <w:ind w:right="1200" w:firstLine="4480" w:firstLineChars="1400"/>
        <w:rPr>
          <w:rFonts w:hint="eastAsia" w:ascii="仿宋_GB2312" w:hAnsi="仿宋_GB2312" w:eastAsia="仿宋_GB2312" w:cs="仿宋_GB2312"/>
          <w:sz w:val="32"/>
          <w:szCs w:val="32"/>
        </w:rPr>
      </w:pPr>
    </w:p>
    <w:p>
      <w:pPr>
        <w:spacing w:before="105" w:line="183" w:lineRule="auto"/>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1" w:lineRule="auto"/>
        <w:rPr>
          <w:rFonts w:ascii="Microsoft JhengHei"/>
        </w:rP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cstate="print"/>
                    <a:stretch>
                      <a:fillRect/>
                    </a:stretch>
                  </pic:blipFill>
                  <pic:spPr>
                    <a:xfrm>
                      <a:off x="0" y="0"/>
                      <a:ext cx="5550535" cy="16509"/>
                    </a:xfrm>
                    <a:prstGeom prst="rect">
                      <a:avLst/>
                    </a:prstGeom>
                  </pic:spPr>
                </pic:pic>
              </a:graphicData>
            </a:graphic>
          </wp:inline>
        </w:drawing>
      </w:r>
    </w:p>
    <w:p>
      <w:pPr>
        <w:spacing w:before="106" w:line="183" w:lineRule="auto"/>
        <w:jc w:val="center"/>
        <w:rPr>
          <w:rFonts w:ascii="Microsoft JhengHei"/>
        </w:rPr>
      </w:pPr>
      <w:r>
        <w:rPr>
          <w:rFonts w:ascii="仿宋" w:hAnsi="仿宋" w:eastAsia="仿宋" w:cs="仿宋"/>
          <w:spacing w:val="-10"/>
          <w:sz w:val="32"/>
          <w:szCs w:val="32"/>
        </w:rPr>
        <w:t>本文书一式</w:t>
      </w:r>
      <w:r>
        <w:rPr>
          <w:rFonts w:hint="eastAsia" w:ascii="仿宋" w:hAnsi="仿宋" w:eastAsia="仿宋" w:cs="仿宋"/>
          <w:spacing w:val="6"/>
          <w:sz w:val="32"/>
          <w:szCs w:val="32"/>
        </w:rPr>
        <w:t>三</w:t>
      </w:r>
      <w:r>
        <w:rPr>
          <w:rFonts w:ascii="仿宋" w:hAnsi="仿宋" w:eastAsia="仿宋" w:cs="仿宋"/>
          <w:spacing w:val="-10"/>
          <w:sz w:val="32"/>
          <w:szCs w:val="32"/>
        </w:rPr>
        <w:t>份，</w:t>
      </w:r>
      <w:r>
        <w:rPr>
          <w:rFonts w:hint="eastAsia" w:ascii="仿宋" w:hAnsi="仿宋" w:eastAsia="仿宋" w:cs="仿宋"/>
          <w:spacing w:val="20"/>
          <w:sz w:val="32"/>
          <w:szCs w:val="32"/>
        </w:rPr>
        <w:t>一</w:t>
      </w:r>
      <w:r>
        <w:rPr>
          <w:rFonts w:ascii="仿宋" w:hAnsi="仿宋" w:eastAsia="仿宋" w:cs="仿宋"/>
          <w:spacing w:val="-10"/>
          <w:sz w:val="32"/>
          <w:szCs w:val="32"/>
        </w:rPr>
        <w:t>份送达，一份归档，</w:t>
      </w:r>
      <w:r>
        <w:rPr>
          <w:rFonts w:hint="eastAsia" w:ascii="仿宋" w:hAnsi="仿宋" w:eastAsia="仿宋" w:cs="仿宋"/>
          <w:spacing w:val="-10"/>
          <w:sz w:val="32"/>
          <w:szCs w:val="32"/>
        </w:rPr>
        <w:t>一份承办机构留存</w:t>
      </w:r>
      <w:r>
        <w:rPr>
          <w:rFonts w:ascii="仿宋" w:hAnsi="仿宋" w:eastAsia="仿宋" w:cs="仿宋"/>
          <w:spacing w:val="-10"/>
          <w:sz w:val="32"/>
          <w:szCs w:val="32"/>
        </w:rPr>
        <w:t>。</w:t>
      </w:r>
    </w:p>
    <w:sectPr>
      <w:headerReference r:id="rId3" w:type="default"/>
      <w:footerReference r:id="rId4" w:type="default"/>
      <w:pgSz w:w="11906" w:h="16839"/>
      <w:pgMar w:top="1304" w:right="1417" w:bottom="1304" w:left="1531" w:header="0" w:footer="9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542"/>
      <w:rPr>
        <w:rFonts w:ascii="宋体" w:hAnsi="宋体" w:eastAsia="宋体" w:cs="宋体"/>
        <w:sz w:val="28"/>
        <w:szCs w:val="28"/>
      </w:rPr>
    </w:pPr>
    <w:r>
      <w:rPr>
        <w:rFonts w:hint="eastAsia" w:ascii="宋体" w:hAnsi="宋体" w:eastAsia="宋体" w:cs="宋体"/>
        <w:spacing w:val="-4"/>
        <w:position w:val="-4"/>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21"/>
    <w:rsid w:val="000D47F1"/>
    <w:rsid w:val="00102321"/>
    <w:rsid w:val="002179A4"/>
    <w:rsid w:val="00290919"/>
    <w:rsid w:val="00314467"/>
    <w:rsid w:val="00317E42"/>
    <w:rsid w:val="003F5517"/>
    <w:rsid w:val="00540F38"/>
    <w:rsid w:val="00684380"/>
    <w:rsid w:val="008D6F89"/>
    <w:rsid w:val="00A309DB"/>
    <w:rsid w:val="00C95571"/>
    <w:rsid w:val="00CF3EA1"/>
    <w:rsid w:val="00E24C18"/>
    <w:rsid w:val="00ED5227"/>
    <w:rsid w:val="00F958A5"/>
    <w:rsid w:val="018638D9"/>
    <w:rsid w:val="020C2634"/>
    <w:rsid w:val="070F67B1"/>
    <w:rsid w:val="0F5C173F"/>
    <w:rsid w:val="11F7708C"/>
    <w:rsid w:val="123F0DB2"/>
    <w:rsid w:val="1BB27320"/>
    <w:rsid w:val="1E932404"/>
    <w:rsid w:val="1F724335"/>
    <w:rsid w:val="21645569"/>
    <w:rsid w:val="229445E9"/>
    <w:rsid w:val="240E224A"/>
    <w:rsid w:val="262A3193"/>
    <w:rsid w:val="26747F65"/>
    <w:rsid w:val="274932D3"/>
    <w:rsid w:val="28595A65"/>
    <w:rsid w:val="2DD8169A"/>
    <w:rsid w:val="3011346C"/>
    <w:rsid w:val="317054D1"/>
    <w:rsid w:val="36822971"/>
    <w:rsid w:val="36844ABA"/>
    <w:rsid w:val="368F3D5D"/>
    <w:rsid w:val="3D5E601D"/>
    <w:rsid w:val="3E83278E"/>
    <w:rsid w:val="4E7541CD"/>
    <w:rsid w:val="4FCF119A"/>
    <w:rsid w:val="517948A8"/>
    <w:rsid w:val="51E8498B"/>
    <w:rsid w:val="566C1A8E"/>
    <w:rsid w:val="598500D2"/>
    <w:rsid w:val="5A5D0A96"/>
    <w:rsid w:val="5E5B3C72"/>
    <w:rsid w:val="5EF144A5"/>
    <w:rsid w:val="607A7090"/>
    <w:rsid w:val="63E22A0B"/>
    <w:rsid w:val="65CC1630"/>
    <w:rsid w:val="6C4C2E8C"/>
    <w:rsid w:val="6DD3471E"/>
    <w:rsid w:val="6FBE6E4C"/>
    <w:rsid w:val="701101E6"/>
    <w:rsid w:val="727C0D77"/>
    <w:rsid w:val="73E95193"/>
    <w:rsid w:val="73ED0DA3"/>
    <w:rsid w:val="76FD29C8"/>
    <w:rsid w:val="79E86997"/>
    <w:rsid w:val="7A755C8F"/>
    <w:rsid w:val="7D930AE9"/>
    <w:rsid w:val="7E33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Char"/>
    <w:basedOn w:val="6"/>
    <w:link w:val="4"/>
    <w:qFormat/>
    <w:uiPriority w:val="0"/>
    <w:rPr>
      <w:rFonts w:eastAsia="Arial"/>
      <w:snapToGrid w:val="0"/>
      <w:color w:val="000000"/>
      <w:sz w:val="18"/>
      <w:szCs w:val="18"/>
    </w:rPr>
  </w:style>
  <w:style w:type="character" w:customStyle="1" w:styleId="9">
    <w:name w:val="页脚 Char"/>
    <w:basedOn w:val="6"/>
    <w:link w:val="3"/>
    <w:qFormat/>
    <w:uiPriority w:val="0"/>
    <w:rPr>
      <w:rFonts w:eastAsia="Arial"/>
      <w:snapToGrid w:val="0"/>
      <w:color w:val="000000"/>
      <w:sz w:val="18"/>
      <w:szCs w:val="18"/>
    </w:rPr>
  </w:style>
  <w:style w:type="character" w:customStyle="1" w:styleId="10">
    <w:name w:val="批注框文本 Char"/>
    <w:basedOn w:val="6"/>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346</Words>
  <Characters>1976</Characters>
  <Lines>16</Lines>
  <Paragraphs>4</Paragraphs>
  <TotalTime>9</TotalTime>
  <ScaleCrop>false</ScaleCrop>
  <LinksUpToDate>false</LinksUpToDate>
  <CharactersWithSpaces>2318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2021-09-27T17:38:00Z</dcterms:created>
  <dc:creator>lenovo</dc:creator>
  <cp:lastModifiedBy>Administrator</cp:lastModifiedBy>
  <cp:lastPrinted>2021-10-09T01:55:00Z</cp:lastPrinted>
  <dcterms:modified xsi:type="dcterms:W3CDTF">2022-01-29T01:29:51Z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2021-07-21T17:24:28Z</vt:filetime>
  </property>
  <property fmtid="{D5CDD505-2E9C-101B-9397-08002B2CF9AE}" pid="4" name="KSOProductBuildVer">
    <vt:lpwstr>2052-11.1.0.11294</vt:lpwstr>
  </property>
  <property fmtid="{D5CDD505-2E9C-101B-9397-08002B2CF9AE}" pid="5" name="ICV">
    <vt:lpwstr>AC141C5394CF4F4C98A9031509D4ECC5</vt:lpwstr>
  </property>
</Properties>
</file>