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spacing w:line="660" w:lineRule="exact"/>
        <w:jc w:val="center"/>
        <w:rPr>
          <w:rFonts w:ascii="方正小标宋简体" w:eastAsia="方正小标宋简体" w:hAnsi="方正小标宋简体" w:cs="方正小标宋简体" w:hint="eastAsia"/>
          <w:b w:val="0"/>
          <w:bCs/>
          <w:color w:val="auto"/>
          <w:kern w:val="10"/>
          <w:sz w:val="44"/>
          <w:szCs w:val="44"/>
          <w:u w:val="none"/>
        </w:rPr>
      </w:pPr>
      <w:r>
        <w:rPr>
          <w:rFonts w:ascii="方正小标宋简体" w:eastAsia="方正小标宋简体" w:hAnsi="方正小标宋简体" w:cs="方正小标宋简体" w:hint="eastAsia"/>
          <w:b w:val="0"/>
          <w:bCs/>
          <w:color w:val="auto"/>
          <w:kern w:val="10"/>
          <w:sz w:val="44"/>
          <w:szCs w:val="44"/>
          <w:u w:val="none"/>
        </w:rPr>
        <w:t>三类重点场所消防安全</w:t>
      </w:r>
      <w:r>
        <w:rPr>
          <w:rFonts w:ascii="方正小标宋简体" w:eastAsia="方正小标宋简体" w:hAnsi="方正小标宋简体" w:cs="方正小标宋简体" w:hint="eastAsia"/>
          <w:b w:val="0"/>
          <w:bCs/>
          <w:color w:val="auto"/>
          <w:kern w:val="10"/>
          <w:sz w:val="44"/>
          <w:szCs w:val="44"/>
          <w:u w:val="none"/>
          <w:lang w:val="en-US" w:eastAsia="zh-CN"/>
        </w:rPr>
        <w:t>整治指南</w:t>
      </w:r>
    </w:p>
    <w:p>
      <w:pPr>
        <w:pStyle w:val="BodyText"/>
        <w:spacing w:line="660" w:lineRule="exact"/>
        <w:rPr>
          <w:color w:val="auto"/>
          <w:kern w:val="10"/>
          <w:sz w:val="36"/>
          <w:szCs w:val="36"/>
          <w:u w:val="none"/>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color w:val="000000"/>
          <w:kern w:val="0"/>
          <w:sz w:val="32"/>
          <w:szCs w:val="32"/>
          <w:shd w:val="clear" w:color="auto" w:fill="FFFFFF"/>
          <w:lang w:val="en-US" w:eastAsia="zh-CN" w:bidi="ar-SA"/>
        </w:rPr>
      </w:pPr>
      <w:r>
        <w:rPr>
          <w:rFonts w:ascii="Times New Roman" w:eastAsia="仿宋_GB2312" w:hAnsi="Times New Roman" w:cs="Times New Roman" w:hint="eastAsia"/>
          <w:color w:val="000000"/>
          <w:kern w:val="0"/>
          <w:sz w:val="32"/>
          <w:szCs w:val="32"/>
          <w:shd w:val="clear" w:color="auto" w:fill="FFFFFF"/>
          <w:lang w:val="en-US" w:eastAsia="zh-CN" w:bidi="ar-SA"/>
        </w:rPr>
        <w:t>为指导各地做好“九小场所”、多业态混合生产经营场所、人员密集场所的消防安全整治工作，制定以下整治指南：</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黑体" w:eastAsia="黑体" w:hAnsi="黑体" w:cs="黑体" w:hint="eastAsia"/>
          <w:b w:val="0"/>
          <w:bCs w:val="0"/>
          <w:color w:val="auto"/>
          <w:kern w:val="10"/>
          <w:sz w:val="32"/>
          <w:szCs w:val="32"/>
          <w:u w:val="none"/>
        </w:rPr>
      </w:pPr>
      <w:r>
        <w:rPr>
          <w:rFonts w:ascii="黑体" w:eastAsia="黑体" w:hAnsi="黑体" w:cs="黑体" w:hint="eastAsia"/>
          <w:b w:val="0"/>
          <w:bCs w:val="0"/>
          <w:color w:val="auto"/>
          <w:kern w:val="10"/>
          <w:sz w:val="32"/>
          <w:szCs w:val="32"/>
          <w:u w:val="none"/>
        </w:rPr>
        <w:t>一、消防安全基本要求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（一）消防安全责任制落实</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color w:val="000000"/>
          <w:kern w:val="0"/>
          <w:sz w:val="32"/>
          <w:szCs w:val="32"/>
          <w:shd w:val="clear" w:color="auto" w:fill="FFFFFF"/>
          <w:lang w:val="en-US" w:eastAsia="zh-CN" w:bidi="ar-SA"/>
        </w:rPr>
      </w:pPr>
      <w:r>
        <w:rPr>
          <w:rFonts w:ascii="Times New Roman" w:eastAsia="仿宋_GB2312" w:hAnsi="Times New Roman" w:cs="Times New Roman" w:hint="eastAsia"/>
          <w:color w:val="000000"/>
          <w:kern w:val="0"/>
          <w:sz w:val="32"/>
          <w:szCs w:val="32"/>
          <w:shd w:val="clear" w:color="auto" w:fill="FFFFFF"/>
          <w:lang w:val="en-US" w:eastAsia="zh-CN" w:bidi="ar-SA"/>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应当开展消防宣传提示。人员密集场所应当在醒目位置设置视频、警示牌或者采用广播等形式对公众提示下列消防安全事项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（二）消防安全基本条件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5.应当符合耐火等级。易燃易爆危险品销售场所建筑物耐火等级不应低于二级，其他场所建筑物的耐火等级不宜低于二级，确有困难时，可采用三、四级耐火等级的建筑，但应符合国家消防技术标准相关规定。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6.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7.应当实施防火分隔。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8.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（三）用火用电安全管理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（四）易燃易爆可燃物安全管理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12.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（五）安全疏散设施管理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14.应当确保出口通道畅通。应保持疏散通道、安全出口畅通，严禁占用、堵塞、封闭疏散通道、安全出口。设置门禁系统的场所，应保证火灾时不需要使用钥匙等任何工具即能从内部易于打开，并应在显著位置设置提示标识。禁止在安全出口、疏散通道上安装固定栅栏等影响疏散的障碍物，禁止在公共区域的外窗上安装金属护栏或防盗网、广告牌等影响疏散、灭火救援的障碍物。人员密集场所使用、营业期间不应锁闭安全出口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15.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spacing w:line="660" w:lineRule="exact"/>
        <w:ind w:firstLine="420" w:firstLineChars="200"/>
        <w:rPr>
          <w:rFonts w:ascii="黑体" w:eastAsia="黑体" w:hAnsi="黑体" w:cs="黑体" w:hint="eastAsia"/>
          <w:b w:val="0"/>
          <w:bCs w:val="0"/>
          <w:color w:val="auto"/>
          <w:kern w:val="10"/>
          <w:sz w:val="32"/>
          <w:szCs w:val="32"/>
          <w:u w:val="none"/>
        </w:rPr>
      </w:pPr>
      <w:r>
        <w:rPr>
          <w:rFonts w:ascii="黑体" w:eastAsia="黑体" w:hAnsi="黑体" w:cs="黑体" w:hint="eastAsia"/>
          <w:b w:val="0"/>
          <w:bCs w:val="0"/>
          <w:color w:val="auto"/>
          <w:kern w:val="10"/>
          <w:sz w:val="32"/>
          <w:szCs w:val="32"/>
          <w:u w:val="none"/>
        </w:rPr>
        <w:t>二、消防安全检查要求</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（一）消防安全责任制落实情况检查要求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宾馆、商场、公共娱乐场所在营业时间是否至少每2小时巡查一次，营业结束后是否检查并消除遗留火种；医院、养老院及寄宿制的学校、托儿所和幼儿园是否每日组织夜间防火巡查，是否少于2次，每月是否开展一次防火检查。</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场所是否每年至少开展一次消防安全培训，是否开展消防安全“三提示”。从业人员是否掌握本场所火灾风险和消防安全常识，熟练掌握消防设施操作使用方法，知晓“119”火警报警方法，具备扑救初期火灾的能力和组织人员应急疏散逃生的能力。</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6.场所营业期间,是否违规进行电焊、气焊、切割等动火施工作业。非营业期间动火施工作业是否经动火审批，是否落实现场安全监护措施。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7.电动自行车及其蓄电池是否违规在场所内、公共门厅、楼梯间、走道、安全出口停放、充电。</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（二）消防安全基本条件检查要求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8.消防车道是否划线管理，其净宽度和净空高度是否小于4米。消防车道与厂房（仓库）、民用建筑之间是否设置妨碍消防车作业的障碍物。</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10.人员密集场所的疏散通道的净宽、其他场所的疏散通道净宽是否符合消防技术标准要求。场所是否设置满足照度要求的消防应急照明灯和灯光疏散指示标志。</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11.场所是否按照国家标准、行业标准设置消防设施、器材，场所消防设施的设置是否与其所在建筑的设置标准匹配。设有消防设施的场所是否每年对建筑消防设施至少进行一次全面检测。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13.场所室内装修材料是否符合国家标准《建筑内部装修设计防火规范》(GB50222)的有关规定，是否违规采用易燃可燃装修材料。人员密集场所及所在建筑采用的内保温材料、外墙外保温材料燃烧性能是否为A级。</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14.生产、储存、经营易燃易爆危险品的场所是否违规与居住场所设置在同一建筑物内。生产、储存、经营其他物品的场所与居住场所设置在同一建筑物内时，安全出口是否分别设置。</w:t>
      </w:r>
    </w:p>
    <w:p>
      <w:pPr>
        <w:spacing w:line="660" w:lineRule="exact"/>
        <w:ind w:firstLine="420" w:firstLineChars="200"/>
        <w:rPr>
          <w:rFonts w:ascii="楷体_GB2312" w:eastAsia="楷体_GB2312" w:hAnsi="楷体_GB2312" w:cs="楷体_GB2312" w:hint="eastAsia"/>
          <w:b/>
          <w:bCs/>
          <w:color w:val="auto"/>
          <w:kern w:val="10"/>
          <w:sz w:val="32"/>
          <w:szCs w:val="32"/>
          <w:u w:val="none"/>
        </w:rPr>
      </w:pPr>
      <w:r>
        <w:rPr>
          <w:rFonts w:ascii="楷体_GB2312" w:eastAsia="楷体_GB2312" w:hAnsi="楷体_GB2312" w:cs="楷体_GB2312" w:hint="eastAsia"/>
          <w:b/>
          <w:bCs/>
          <w:color w:val="auto"/>
          <w:kern w:val="10"/>
          <w:sz w:val="32"/>
          <w:szCs w:val="32"/>
          <w:u w:val="none"/>
        </w:rPr>
        <w:t>（三）各类场所消防安全检查要求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15.商场、集贸市场</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（1）商场与住宅位于同一建筑的，商业部分是否与住宅部分的安全出口分开设置，楼梯首层是否能够直通室外。商场、市场内的小型中转仓库是否独立设置，如必须设置在商场、市场内，是否用防火墙隔开。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（2）高层、多层公共建筑内的商场、市场，其顶棚、墙面是否采用不燃或难燃装修材料。</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（3）营业厅内食品加工区的明火部位是否靠外墙布置，是否采用耐火极限不低于2小时的隔墙与其他部位分隔，敞开式的食品加工区是否采用电加热设施。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16.餐饮场所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（1）设置在商住楼或住宅楼内的餐饮场所是否与住宅部分分开设置。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（3）多层及高层公共建筑内的餐饮场所，其顶棚、墙面是否采用不燃或难燃装修材料。</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（4）场所是否张贴或悬挂安全疏散示意图，在出入口、楼梯口、疏散走道、疏散门等部位是否设灯光疏散指示标志。营业期间是否违规将安全出口上锁。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17.宾馆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（1）宾馆每个楼层的安全出口是否少于2个。</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高层宾馆位于两个安全出口之间的房间疏散门至最近安全出口的直线距离是否大于30米，单、多层宾馆是否大于40米；位于袋形走道两侧或尽端的房间疏散门至最近安全出口的直线距离是否大于15米，单、多层宾馆是否大于22米。</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（4）高层宾馆和体积大于5000立方米的单、多层宾馆是否设置室内消火栓系统。任一层建筑面积大于1500平方米或总建筑面积大于3000平方米的宾馆是否设置自动喷水灭火系统和火灾自动报警系统。</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5）宾馆是否设置消防应急照明和灯光疏散指示标志。灯光疏散指示标志的间距是否大于20米；对于袋形走道，是否大于10米；在走道转角区，是否大于1米。客房内是否设置醒目、耐久的“请勿卧床吸烟”等提示牌和楼层安全疏散示意图。</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（6）宾馆的水平疏散走道和安全出口的门厅，其顶棚材料是否采用不燃材料装修，其他部位是否采用不燃或难燃材料装修。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（7）宾馆的客房内是否配备应急手电筒、防烟面具等逃生器材及使用说明。</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18.公共娱乐场所（含歌舞娱乐、网吧、美容洗浴等场所）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（4）场所营业期间是否违规将安全出口上锁，门窗是否设置影响逃生和灭火救援的障碍物。场所是否违规存放易燃易爆危险品，设置在地下的场所是否违规使用液化石油气。</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5）场所是否违规私自乱拉临时电线。是否在营业期间违规进行设备检修、电气焊、油漆粉刷等施工、维修作业，是否违规在室内燃放烟花。营业期间和营业结束后，是否指定专人进行安全巡视检查。是否确认无遗留烟头、烧香、蜡烛、使用明火等火种。确认安全后，是否切断电源。</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（6）歌厅、舞厅及其包房内，是否设置声音或图像警报，是否能够实现在火灾发生初期，将歌厅、舞厅各房间的画面、音响消除，播送火灾警报，引导人员安全疏散。</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19.医院、养老院、儿童福利院</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（1）养老院当中的生活用房和医院的住院部分是否设置在三层及三层以上楼层或地下、半地下建筑（室）内。</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（3）医院、养老院的病房、疏散走道等场所是否堆放可燃物品及其他杂物，是否加设床位，疏散门是否上锁。是否在窗口、阳台等部位设置影响疏散逃生的封闭式栅栏等设施。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后，方可使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20.学校（含寄宿制学校、托儿所、幼儿园，非寄宿制的学校、托儿所、幼儿园，校外培训机构）</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（2）寄宿制学校的集体宿舍是否违规使用蜡烛、电炉；当需要使用炉火采暖时，是否设专人负责，夜间是否定时进行防火巡査。</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（3）托儿所、幼儿园的儿童用房及儿童游乐厅等儿童活动场所是否违规使用明火取暖、照明，当必须使用时，是否采取防火、防护措施，是否设专人负责。</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（4）场所的厨房、烧水间是否单独设置。每间集体宿舍是否设置用电超载保护装置。电路熔断器是否违规使用铜丝、铝丝替代。</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21.生产加工企业</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（1）住宿与生产、储存、经营合用场所的住宿与非住宿部分是否进行防火分隔，安全出口是否相互独立。厂房、仓库内是否违规设置员工宿舍。</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（3）生产加工车间、员工集体宿舍是否违规擅自拉接电气线路、设置炉灶。</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22.易燃易爆危险品销售场所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（1）易燃易爆危险品销售场所是否违规附设在民用建筑内。易燃易爆危险品经营门店是否为独立的单层、框架或砖混结构的建筑，是否设置在建筑的一、二层，是否违规设置在地下、半地下。</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门店内的货物是否违规超量储存，化学性质不同以及相互发生反应的物品或者灭火方法不同的物品是否违规混存，储存场所是否有通风、降温措施。物品的包装是否牢固、密封，是否违规存在跑、冒、滴、漏情况。</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（3）易燃易爆危险品经营门店内电气装置是否采用防爆电器，敷设的配电线路是否穿金属管或难燃塑料管保护。</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（4）门店内是否存在吸烟、违规动火作业情况，是否违规使用电炉、明火等取暖、照明、烹饪食物。</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23.仓储场所</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（1）仓储场所与建筑物之间是否保持足够的防火间距。</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2）露天存放物品是否分类、分堆、分组和分垛，是否留出必要的防火间距。库存物品是否分类、分垛储存，每垛占地面积，垛与垛间距，垛与墙面间距，垛与梁、柱的间距，主要通道的宽度是否符合消防技术标准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（3）场所内是否违规设置员工宿舍；确需设置办公室、休息室的，是否采用不燃烧体隔墙、楼板与库房分隔，是否设置独立的安全出口。场所的安全出口数量、宽度、间距是否符合消防技术标准要求。</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（4）建筑占地面积大于300平方米的仓储场所，是否设置室内消防栓。</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（6）场所的电气设备周围和架空线路下方是否堆放物品；对进入场所的机动车尾气管部位，是否设置机动车排气火花熄灭器。</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（7）场所是否按照国家标准要求设置防雷装置，是否定期检测。库房内是否违规使用电炉、电烙铁、电熨斗等电热器具。</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eastAsia="仿宋_GB2312" w:hAnsi="Times New Roman" w:cs="Times New Roman" w:hint="eastAsia"/>
          <w:b w:val="0"/>
          <w:bCs w:val="0"/>
          <w:color w:val="000000"/>
          <w:kern w:val="0"/>
          <w:sz w:val="32"/>
          <w:szCs w:val="32"/>
          <w:lang w:val="en-US" w:eastAsia="zh-CN" w:bidi="ar-SA"/>
        </w:rPr>
      </w:pPr>
      <w:r>
        <w:rPr>
          <w:rFonts w:ascii="Times New Roman" w:eastAsia="仿宋_GB2312" w:hAnsi="Times New Roman" w:cs="Times New Roman" w:hint="eastAsia"/>
          <w:b w:val="0"/>
          <w:bCs w:val="0"/>
          <w:color w:val="000000"/>
          <w:kern w:val="0"/>
          <w:sz w:val="32"/>
          <w:szCs w:val="32"/>
          <w:lang w:val="en-US" w:eastAsia="zh-CN" w:bidi="ar-SA"/>
        </w:rPr>
        <w:t>（8）物品入库前是否有专人负责检，是否确定无火种等隐患后，方准入库。库房内和堆场是否违规使用明火,是否违规使用火炉取暖；库房外动用明火作业是否经过审批，是否做好防护措施。场所是否设置醒目的防火警示标识。</w:t>
      </w:r>
    </w:p>
    <w:p>
      <w:pPr>
        <w:rPr>
          <w:rFonts w:hint="eastAsia"/>
          <w:lang w:val="en-US" w:eastAsia="zh-CN"/>
        </w:rPr>
      </w:pPr>
      <w:bookmarkStart w:id="0" w:name="_GoBack"/>
      <w:bookmarkEnd w:id="0"/>
    </w:p>
    <w:sectPr>
      <w:headerReference w:type="default" r:id="rId5"/>
      <w:footerReference w:type="default" r:id="rId6"/>
      <w:pgSz w:w="11906" w:h="16838"/>
      <w:pgMar w:top="1701" w:right="1417" w:bottom="1417" w:left="1701" w:header="851" w:footer="992" w:gutter="0"/>
      <w:cols w:num="1" w:space="0"/>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MingLiU">
    <w:altName w:val="Droid Sans Japanese"/>
    <w:panose1 w:val="02020509000000000000"/>
    <w:charset w:val="00"/>
    <w:family w:val="modern"/>
    <w:pitch w:val="default"/>
    <w:sig w:usb0="00000000" w:usb1="00000000" w:usb2="00000016" w:usb3="00000000" w:csb0="00100001" w:csb1="00000000"/>
  </w:font>
  <w:font w:name="微软雅黑">
    <w:altName w:val="黑体"/>
    <w:panose1 w:val="020B0503020204020204"/>
    <w:charset w:val="00"/>
    <w:family w:val="auto"/>
    <w:pitch w:val="default"/>
    <w:sig w:usb0="00000000" w:usb1="00000000" w:usb2="00000016" w:usb3="00000000" w:csb0="0004001F"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Theme="majorEastAsia" w:eastAsiaTheme="majorEastAsia" w:hAnsi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r>
                            <w:rPr>
                              <w:rFonts w:asciiTheme="minorEastAsia" w:eastAsiaTheme="minorEastAsia" w:hAnsiTheme="minorEastAsia" w:cstheme="minorEastAsia"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outside;mso-position-horizontal-relative:margin;mso-width-relative:page;mso-wrap-style:none;position:absolute;width:2in;z-index:251660288" coordsize="21600,21600" filled="f" stroked="f">
              <o:lock v:ext="edit" aspectratio="f"/>
              <v:textbox style="mso-fit-shape-to-text:t" inset="0,0,0,0">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r>
                      <w:rPr>
                        <w:rFonts w:asciiTheme="minorEastAsia" w:eastAsiaTheme="minorEastAsia" w:hAnsiTheme="minorEastAsia" w:cstheme="minorEastAsia" w:hint="eastAsia"/>
                        <w:sz w:val="28"/>
                        <w:szCs w:val="28"/>
                        <w:lang w:eastAsia="zh-CN"/>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nN4dnJ5Nm1oeTlhc3h3eDJ0ZmkzNjQ8L2FjY291bnQ+PG1hY2hpbmVDb2RlPlx4YTEjXHgxNyBceDA027wqCjwvbWFjaGluZUNvZGU+PHRpbWU+MjAyNC0wMi0wOSAwODozMzoxNDwvdGltZT48c3lzdGVtPk1CPHN5c3RlbT48L3RyYWNlPg==</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Default">
    <w:name w:val="Default"/>
    <w:basedOn w:val="1"/>
    <w:next w:val="6"/>
    <w:qFormat/>
    <w:pPr>
      <w:keepNext w:val="0"/>
      <w:keepLines w:val="0"/>
      <w:widowControl w:val="0"/>
      <w:suppressLineNumbers w:val="0"/>
      <w:autoSpaceDE w:val="0"/>
      <w:autoSpaceDN w:val="0"/>
      <w:adjustRightInd w:val="0"/>
      <w:spacing w:before="0" w:beforeAutospacing="0" w:after="0" w:afterAutospacing="0"/>
      <w:ind w:left="0" w:right="0"/>
      <w:jc w:val="left"/>
    </w:pPr>
    <w:rPr>
      <w:rFonts w:ascii="黑体" w:eastAsia="黑体" w:hAnsi="Times New Roman" w:cs="Times New Roman" w:hint="eastAsia"/>
      <w:color w:val="000000"/>
      <w:kern w:val="0"/>
      <w:sz w:val="24"/>
      <w:szCs w:val="24"/>
      <w:lang w:val="en-US" w:eastAsia="zh-CN" w:bidi="ar"/>
    </w:rPr>
  </w:style>
  <w:style w:type="paragraph" w:customStyle="1" w:styleId="1">
    <w:name w:val="纯文本1"/>
    <w:basedOn w:val="Normal"/>
    <w:qFormat/>
    <w:pPr>
      <w:ind w:firstLine="964" w:firstLineChars="200"/>
    </w:pPr>
    <w:rPr>
      <w:rFonts w:ascii="宋体" w:eastAsia="仿宋" w:hAnsi="宋体" w:cs="Times New Roman"/>
      <w:sz w:val="21"/>
    </w:rPr>
  </w:style>
  <w:style w:type="paragraph" w:customStyle="1" w:styleId="6">
    <w:name w:val="正文文字 6"/>
    <w:next w:val="Normal"/>
    <w:qFormat/>
    <w:pPr>
      <w:widowControl w:val="0"/>
      <w:ind w:left="240"/>
      <w:jc w:val="both"/>
    </w:pPr>
    <w:rPr>
      <w:rFonts w:ascii="宋体" w:eastAsia="宋体" w:hAnsi="Calibri" w:cs="Times New Roman"/>
      <w:b/>
      <w:bCs/>
      <w:kern w:val="2"/>
      <w:sz w:val="32"/>
      <w:szCs w:val="32"/>
      <w:lang w:val="en-US" w:eastAsia="zh-CN" w:bidi="ar-SA"/>
    </w:rPr>
  </w:style>
  <w:style w:type="paragraph" w:styleId="NormalIndent">
    <w:name w:val="Normal Indent"/>
    <w:basedOn w:val="Normal"/>
    <w:next w:val="Normal"/>
    <w:qFormat/>
    <w:pPr>
      <w:ind w:firstLine="420" w:firstLineChars="200"/>
    </w:pPr>
    <w:rPr>
      <w:rFonts w:cs="Calibri"/>
    </w:rPr>
  </w:style>
  <w:style w:type="paragraph" w:styleId="BodyText">
    <w:name w:val="Body Text"/>
    <w:basedOn w:val="Normal"/>
    <w:next w:val="TOC5"/>
    <w:uiPriority w:val="99"/>
    <w:unhideWhenUsed/>
    <w:qFormat/>
    <w:pPr>
      <w:spacing w:beforeLines="0" w:afterLines="0"/>
    </w:pPr>
    <w:rPr>
      <w:rFonts w:hint="default"/>
      <w:sz w:val="69"/>
      <w:szCs w:val="24"/>
    </w:rPr>
  </w:style>
  <w:style w:type="paragraph" w:styleId="TOC5">
    <w:name w:val="toc 5"/>
    <w:basedOn w:val="Normal"/>
    <w:next w:val="Normal"/>
    <w:qFormat/>
    <w:pPr>
      <w:ind w:left="1680"/>
    </w:pPr>
  </w:style>
  <w:style w:type="paragraph" w:styleId="Footer">
    <w:name w:val="footer"/>
    <w:basedOn w:val="Normal"/>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qFormat/>
    <w:pPr>
      <w:spacing w:before="240" w:beforeLines="0" w:beforeAutospacing="0" w:after="60" w:afterLines="0" w:afterAutospacing="0"/>
      <w:jc w:val="center"/>
      <w:outlineLvl w:val="0"/>
    </w:pPr>
    <w:rPr>
      <w:rFonts w:ascii="Arial" w:hAnsi="Arial"/>
      <w:b/>
      <w:sz w:val="32"/>
    </w:rPr>
  </w:style>
  <w:style w:type="character" w:styleId="Strong">
    <w:name w:val="Strong"/>
    <w:basedOn w:val="DefaultParagraphFont"/>
    <w:uiPriority w:val="22"/>
    <w:qFormat/>
    <w:rPr>
      <w:b/>
      <w:bCs/>
    </w:rPr>
  </w:style>
  <w:style w:type="character" w:styleId="PageNumber">
    <w:name w:val="page number"/>
    <w:basedOn w:val="DefaultParagraphFont"/>
    <w:qFormat/>
    <w:rPr>
      <w:rFonts w:ascii="Calibri" w:eastAsia="宋体" w:hAnsi="Calibri" w:cs="Times New Roman"/>
    </w:rPr>
  </w:style>
  <w:style w:type="character" w:customStyle="1" w:styleId="UserStyle1">
    <w:name w:val="UserStyle_1"/>
    <w:basedOn w:val="DefaultParagraphFont"/>
    <w:qFormat/>
    <w:rPr>
      <w:rFonts w:ascii="Times New Roman" w:eastAsia="宋体" w:hAnsi="Times New Roman" w:cs="Times New Roman"/>
      <w:kern w:val="2"/>
      <w:sz w:val="21"/>
      <w:szCs w:val="24"/>
      <w:lang w:val="en-US" w:eastAsia="zh-CN" w:bidi="ar-SA"/>
    </w:rPr>
  </w:style>
  <w:style w:type="paragraph" w:customStyle="1" w:styleId="12">
    <w:name w:val="样式 标题 1 + 首行缩进:  2 字符"/>
    <w:basedOn w:val="Heading1"/>
    <w:qFormat/>
    <w:pPr>
      <w:spacing w:line="240" w:lineRule="auto"/>
      <w:ind w:firstLine="200" w:firstLineChars="200"/>
      <w:jc w:val="center"/>
    </w:pPr>
    <w:rPr>
      <w:rFonts w:eastAsia="黑体" w:cs="宋体"/>
      <w:b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5258</Words>
  <Characters>5375</Characters>
  <Application>Microsoft Office Word</Application>
  <DocSecurity>0</DocSecurity>
  <Lines>0</Lines>
  <Paragraphs>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潘虹兵</cp:lastModifiedBy>
  <cp:revision>1</cp:revision>
  <dcterms:created xsi:type="dcterms:W3CDTF">2021-11-15T00:49:00Z</dcterms:created>
  <dcterms:modified xsi:type="dcterms:W3CDTF">2024-02-04T15:51:02Z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7F38D2D980CA411E9EC2C2212761A451</vt:lpwstr>
  </property>
  <property fmtid="{D5CDD505-2E9C-101B-9397-08002B2CF9AE}" pid="3" name="KSOProductBuildVer">
    <vt:lpwstr>2052-11.8.2.10489</vt:lpwstr>
  </property>
</Properties>
</file>