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融水苗族自治县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储备粮管理办法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（征求意见稿）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总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则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级储备粮（以下简称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储备粮）的管理，根据国家有关法律法规，参照《中央储备粮管理条例》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、《广西壮族自治区储备粮管理办法》、《柳州市储备粮管理办法》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实际，制定本办法。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第二条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储备粮，是指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人民政府储备的用于调节全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粮食供求总量，稳定粮食市场，以及应对重大自然灾害或者其他突发事件等情况的粮食和食用油。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储备粮计划、储存、轮换、动用及监督管理等活动适用本办法。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储备粮的各项管理制度，确保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储备粮数量真实、质量良好和储存安全，确保储得进、管得好、调得动、用得上，并节约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储备粮的成本、费用。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人民政府批准，任何单位和个人不得擅自动用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负责拟订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储备粮的规模总量、总体布局和动用的宏观调控意见，对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储备粮管理进行指导和协调。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储备粮的数量、质量和储存实施监督检查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，并做好县级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具体业务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县级储备粮承储企业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（以下统称承储企业）负责所承储的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储备粮的数量、质量和储存安全。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储备粮的有关管理，负责对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储备粮购、销、调、存、轮换各环节盈亏、补贴的处理，安排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储备粮贷款利息、管理费用以及价差亏损等财政补贴，并保证各项财政补贴及时、足额拨付；负责对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储备粮有关财务执行情况实施监督检查。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行负责按照国家有关规定，在落实好管理费用、贷款利息及价差亏损的前提下，及时、足额安排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储备粮所需贷款，并对发放的贷款实施信贷监管。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任何单位和个人不得破坏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储备粮的仓储设施，不得偷盗、哄抢或者损毁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县人民政府应当及时组织有关部门制止、查处破坏仓储设施、偷盗、哄抢或者损毁县级储备粮的违法行为。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县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级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储备粮的计划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储备粮储存规模总量方案由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拟订，报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人民政府批准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,也可按照柳州市人民政府下达给融水县的储存规模执行。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储备粮的储存品种、布局以及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收购、销售计划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县发展和改革委局（粮食和物资储备局）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行共同下达，由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承储企业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织实施。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储备粮应当按照常储常新的原则，以储存品质为依据，以储存年限为参考，实行均衡轮换，确保粮食质量安全。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具体轮换计划由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承储企业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提出，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和中国农业发展银行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行批准。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储备粮收购、销售、年度轮换计划的具体执行情况，按规定抄送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行备案。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firstLine="640"/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县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级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储备粮的储存</w:t>
      </w:r>
    </w:p>
    <w:p>
      <w:pPr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国有粮食购销企业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储存为主，也可以委托其他企业储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承储企业储存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储备粮，必须执行有关储备粮管理的国家标准和技术规范，并制定相应的管理制度。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承储企业必须保证入库的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储备粮达到收购、轮换计划规定的质量要求。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十七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承储企业应当对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储备粮实行专仓储存、专人保管、专账记载，保证账账相符、账实相符、质量良好、储存安全。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十八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承储企业对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储备粮的管理不得实施下列行为：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虚报粮食收储数量；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擅自混存或者串换品种、变更储存地点或者货位；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延误轮换、管理不善或者其他原因造成霉坏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（四）通过以陈顶新、以次充好、低收高转、虚假购销、虚假轮换、违规倒卖等方式，套取粮食价差和财政补贴，骗取信贷资金；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挤占、挪用、克扣财政补贴、信贷资金；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储备粮为债务作担保或者清偿债务；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储备粮进行除政府委托的政策性任务以外的其他商业经营；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储备粮出库时掺杂使假、以次充好、调换标的物，拒不执行出库指令或者阻挠出库；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（九）购买限定用途的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储备粮，违规倒卖或者不按照规定用途处置；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（十）擅自动用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（十一）其他违反储备粮管理的行为。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十九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承储企业应当建立、健全储备粮的防火、防盗、防洪等安全管理制度，并配备必要的安全防护设施。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承储企业应当在轮换计划规定的时间内完成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储备粮的轮换。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储备粮的管理费用补贴由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储备粮的储备成本、费用、物价指数等因素核定拨补；其贷款利息补贴按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储备粮实物库存成本和现行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农业发展银行一年贷款利率计算拨补。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承储企业根据县级储备粮管理实情，提出费用补贴方案，报县发展和改革局（粮食和物资储备局）、财政局审定。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储备粮的管理费用、利息补贴由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拨付到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承储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储备粮管理费用应当用于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储备粮管理相关的费用项目开支，任何单位和个人不得截留和挪用。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储备粮贷款实行贷款与粮食库存值挂钩，并专户管理、专款专用。承储企业应当在中国农业发展银行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行开立基本账户，并接受其信贷监管。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储备粮的入库成本由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和中国农业发展银行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行核定。承储企业必须执行核定的入库成本，不得擅自更改。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应当会同有关部门制定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储备粮损失、损耗处理制度，及时处理所发生的损失、损耗。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应当定期统计、分析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储备粮的储存管理情况，并将统计、分析情况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抄</w:t>
      </w:r>
      <w:r>
        <w:rPr>
          <w:rFonts w:hint="eastAsia" w:ascii="仿宋_GB2312" w:hAnsi="仿宋_GB2312" w:eastAsia="仿宋_GB2312" w:cs="仿宋_GB2312"/>
          <w:sz w:val="32"/>
          <w:szCs w:val="32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县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级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储备粮的动用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应当建立和完善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储备粮动用预警机制，加强对市场粮食供求情况的监测，适时向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人民政府提出动用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储备粮的建议。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二十七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出现下列情况之一的，可以动用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储备粮：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所属行政区域内，粮食明显供不应求或者市场价格异常波动；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（二）发生重大自然灾害或者其他突发事件需要动用；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人民政府认为需要动用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储备粮的其他情形。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二十八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动用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由县发展和改革局（粮食和物资储备局）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提出动用方案，报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人民政府批准。动用方案应当包括动用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储备粮的品种、数量、质量、价格、使用安排、运输保障等内容。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二十九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人民政府批准的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储备粮动用方案下达动用指令，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承储企业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具体组织实施。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紧急情况下，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人民政府直接下达动用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储备粮命令。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有关部门和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储备粮动用指令和命令的实施，应当给予支持、配合。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任何单位和个人不得拒绝执行或者擅自改变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储备粮动用指令和命令。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第五章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监督检查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应当按照各自职责，依法对承储企业执行有关粮食法规及本办法的情况进行监督检查，并行使下列职权：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进入承储企业检查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储备粮的数量、质量和储存安全情况；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向有关单位和人员了解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储备粮收购、销售、轮换计划及动用指令和命令的执行情况；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调阅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储备粮管理的有关资料、凭证；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对违法行为，依法予以处理。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的监督检查人员应当将监督检查情况作出书面记录，并由监督检查人员和被检查单位的主要负责人签字。被检查单位的主要负责人拒绝签字的，监督检查人员应当将有关情况记录在案。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承储企业对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县发展和改革局（粮食和物资储备局）、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、审计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及中国农业发展银行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行的监督检查人员依法履行职责，应当予以配合。任何单位和个人不得拒绝、阻挠、干涉。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第三十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储备粮的管理和检查，及时纠正存在的数量、质量问题；对危及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储备粮储存安全的重大问题，应当立即采取有效措施予以处理，并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抄报县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和中国农业发展银行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行应当按照资金封闭管理的规定，加强对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储备粮贷款的信贷监管。承储企业对中国农业发展银行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行依法进行的信贷监管，应当予以配合，并及时提供有关资料和情况。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ind w:firstLine="64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法律责任</w:t>
      </w:r>
    </w:p>
    <w:p>
      <w:pPr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三十六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违反本办法规定的行为，法律、法规已有法律责任规定的，从其规定。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三十七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行政机关工作人员违反本办法规定，有下列行为之一的，给予警告直至开除的处分；构成犯罪的，依法追究刑事责任：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不及时下达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储备粮收购、销售和年度轮换计划的；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发现承储企业存在不适合储存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储备粮的情况，未按照规定责令其限期整改的；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接到举报或者发现违法行为不及时查处的。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三十八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承储企业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违反本办法规定，有下列行为之一的，由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责令改正；对直接负责的主管人员和其他直接责任人员，给予警告直至开除的处分；构成犯罪的，依法追究刑事责任：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拒不组织实施或者擅自改变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储备粮收购、销售、年度轮换计划和动用指令、命令的；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发现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储备粮的数量、质量存在问题不及时纠正，或者发现危及储存安全的重大问题，不采取有效措施处理并按照规定报告的；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）拒绝、阻挠、干涉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、审计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及中国农业发展银行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行的监督检查人员依法履行监督检查职责的。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三十九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发展和改革局（粮食和物资储备局）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和中国农业发展银行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融水苗族自治县支</w:t>
      </w:r>
      <w:r>
        <w:rPr>
          <w:rFonts w:hint="eastAsia" w:ascii="仿宋_GB2312" w:hAnsi="仿宋_GB2312" w:eastAsia="仿宋_GB2312" w:cs="仿宋_GB2312"/>
          <w:sz w:val="32"/>
          <w:szCs w:val="32"/>
        </w:rPr>
        <w:t>行的工作人员违反本办法规定，滥用职权、徇私舞弊或者玩忽职守，依法给予处分；构成犯罪的，依法追究刑事责任。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第七章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</w:rPr>
        <w:t>施行。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399B8"/>
    <w:multiLevelType w:val="singleLevel"/>
    <w:tmpl w:val="D6D399B8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EF7ECC9C"/>
    <w:multiLevelType w:val="singleLevel"/>
    <w:tmpl w:val="EF7ECC9C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15766"/>
    <w:rsid w:val="00ED0016"/>
    <w:rsid w:val="0680322D"/>
    <w:rsid w:val="09F1176D"/>
    <w:rsid w:val="0CFB45A3"/>
    <w:rsid w:val="14615766"/>
    <w:rsid w:val="1F8D17AA"/>
    <w:rsid w:val="28DB5491"/>
    <w:rsid w:val="330C1963"/>
    <w:rsid w:val="3F45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2024-07-29T08:15:00Z</dcterms:created>
  <dc:creator>Administrator</dc:creator>
  <cp:lastModifiedBy>☀</cp:lastModifiedBy>
  <dcterms:modified xsi:type="dcterms:W3CDTF">2024-10-18T08:01:42Z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D20A9C0D105346B48C1EA5ED44E56424</vt:lpwstr>
  </property>
</Properties>
</file>